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DC59AF" w:rsidRDefault="00DC59AF">
      <w:pPr>
        <w:suppressAutoHyphens/>
        <w:jc w:val="center"/>
        <w:rPr>
          <w:rFonts w:ascii="Calibri" w:eastAsia="Calibri" w:hAnsi="Calibri" w:cs="Calibri"/>
          <w:sz w:val="22"/>
        </w:rPr>
      </w:pPr>
      <w:bookmarkStart w:id="0" w:name="_GoBack"/>
      <w:bookmarkEnd w:id="0"/>
    </w:p>
    <w:p w:rsidR="00DC59AF" w:rsidRDefault="00DC59AF">
      <w:pPr>
        <w:suppressAutoHyphens/>
        <w:jc w:val="center"/>
        <w:rPr>
          <w:rFonts w:ascii="Calibri" w:eastAsia="Calibri" w:hAnsi="Calibri" w:cs="Calibri"/>
          <w:sz w:val="22"/>
        </w:rPr>
      </w:pPr>
    </w:p>
    <w:p w:rsidR="00DC59AF" w:rsidRDefault="00A469BC">
      <w:pPr>
        <w:suppressAutoHyphens/>
        <w:jc w:val="center"/>
        <w:rPr>
          <w:rFonts w:ascii="Calibri" w:eastAsia="Calibri" w:hAnsi="Calibri" w:cs="Calibri"/>
          <w:sz w:val="22"/>
        </w:rPr>
      </w:pPr>
      <w:r>
        <w:rPr>
          <w:rFonts w:ascii="Liberation Sans" w:eastAsia="Liberation Sans" w:hAnsi="Liberation Sans" w:cs="Liberation Sans"/>
          <w:b/>
          <w:sz w:val="48"/>
        </w:rPr>
        <w:t>DENNINGTON PARISH COUNCIL</w:t>
      </w:r>
    </w:p>
    <w:p w:rsidR="00DC59AF" w:rsidRDefault="00A469BC">
      <w:pPr>
        <w:suppressAutoHyphens/>
        <w:jc w:val="center"/>
        <w:rPr>
          <w:rFonts w:ascii="Calibri" w:eastAsia="Calibri" w:hAnsi="Calibri" w:cs="Calibri"/>
          <w:b/>
          <w:sz w:val="22"/>
        </w:rPr>
      </w:pPr>
      <w:r>
        <w:pict>
          <v:rect id="rectole0000000000" o:spid="_x0000_s1026" style="width:103.25pt;height:111.35pt;mso-left-percent:-10001;mso-top-percent:-10001;mso-position-horizontal:absolute;mso-position-horizontal-relative:char;mso-position-vertical:absolute;mso-position-vertical-relative:line;mso-left-percent:-10001;mso-top-percent:-10001" o:preferrelative="t">
            <v:imagedata r:id="rId5" o:title=""/>
          </v:rect>
          <o:OLEObject Type="Embed" ProgID="StaticMetafile" ShapeID="rectole0000000000" DrawAspect="Content" ObjectID="_1428586863" r:id="rId6"/>
        </w:pict>
      </w:r>
    </w:p>
    <w:p w:rsidR="00DC59AF" w:rsidRDefault="00A469BC">
      <w:pPr>
        <w:keepNext/>
        <w:suppressAutoHyphens/>
        <w:ind w:hanging="1304"/>
        <w:jc w:val="center"/>
        <w:rPr>
          <w:rFonts w:ascii="Arial" w:eastAsia="Arial" w:hAnsi="Arial" w:cs="Arial"/>
          <w:sz w:val="32"/>
          <w:u w:val="single"/>
        </w:rPr>
      </w:pPr>
      <w:r>
        <w:rPr>
          <w:rFonts w:ascii="Arial" w:eastAsia="Arial" w:hAnsi="Arial" w:cs="Arial"/>
          <w:b/>
          <w:sz w:val="32"/>
        </w:rPr>
        <w:t xml:space="preserve">              </w:t>
      </w:r>
      <w:r>
        <w:rPr>
          <w:rFonts w:ascii="Arial" w:eastAsia="Arial" w:hAnsi="Arial" w:cs="Arial"/>
          <w:sz w:val="32"/>
          <w:u w:val="single"/>
        </w:rPr>
        <w:t xml:space="preserve"> MINUTES OF PLANNING MEETING</w:t>
      </w:r>
    </w:p>
    <w:p w:rsidR="00DC59AF" w:rsidRDefault="00A469BC">
      <w:pPr>
        <w:keepNext/>
        <w:suppressAutoHyphens/>
        <w:ind w:hanging="1304"/>
        <w:jc w:val="center"/>
        <w:rPr>
          <w:rFonts w:ascii="Arial" w:eastAsia="Arial" w:hAnsi="Arial" w:cs="Arial"/>
          <w:sz w:val="32"/>
          <w:u w:val="single"/>
        </w:rPr>
      </w:pPr>
      <w:r>
        <w:rPr>
          <w:rFonts w:ascii="Arial" w:eastAsia="Arial" w:hAnsi="Arial" w:cs="Arial"/>
          <w:sz w:val="32"/>
        </w:rPr>
        <w:t xml:space="preserve">             </w:t>
      </w:r>
      <w:proofErr w:type="gramStart"/>
      <w:r>
        <w:rPr>
          <w:rFonts w:ascii="Arial" w:eastAsia="Arial" w:hAnsi="Arial" w:cs="Arial"/>
          <w:sz w:val="32"/>
          <w:u w:val="single"/>
        </w:rPr>
        <w:t>TUESDAY  APRIL</w:t>
      </w:r>
      <w:proofErr w:type="gramEnd"/>
      <w:r>
        <w:rPr>
          <w:rFonts w:ascii="Arial" w:eastAsia="Arial" w:hAnsi="Arial" w:cs="Arial"/>
          <w:sz w:val="32"/>
          <w:u w:val="single"/>
        </w:rPr>
        <w:t xml:space="preserve"> 4TH   AT 7PM</w:t>
      </w:r>
    </w:p>
    <w:p w:rsidR="00DC59AF" w:rsidRDefault="00A469BC">
      <w:pPr>
        <w:suppressAutoHyphens/>
        <w:jc w:val="center"/>
        <w:rPr>
          <w:rFonts w:ascii="Arial" w:eastAsia="Arial" w:hAnsi="Arial" w:cs="Arial"/>
          <w:b/>
          <w:color w:val="00000A"/>
        </w:rPr>
      </w:pPr>
      <w:r>
        <w:rPr>
          <w:rFonts w:ascii="Arial" w:eastAsia="Arial" w:hAnsi="Arial" w:cs="Arial"/>
          <w:color w:val="00000A"/>
        </w:rPr>
        <w:t>In the Jubilee Hall</w:t>
      </w:r>
    </w:p>
    <w:p w:rsidR="00DC59AF" w:rsidRDefault="00A469BC">
      <w:pPr>
        <w:tabs>
          <w:tab w:val="left" w:pos="8946"/>
        </w:tabs>
        <w:suppressAutoHyphens/>
        <w:ind w:left="1440" w:right="-642" w:hanging="1440"/>
        <w:jc w:val="both"/>
        <w:rPr>
          <w:rFonts w:ascii="Liberation Serif" w:eastAsia="Liberation Serif" w:hAnsi="Liberation Serif" w:cs="Liberation Serif"/>
          <w:color w:val="00000A"/>
        </w:rPr>
      </w:pPr>
      <w:r>
        <w:rPr>
          <w:rFonts w:ascii="Arial" w:eastAsia="Arial" w:hAnsi="Arial" w:cs="Arial"/>
          <w:b/>
          <w:i/>
          <w:color w:val="00000A"/>
          <w:sz w:val="18"/>
        </w:rPr>
        <w:t>Councillors:</w:t>
      </w:r>
      <w:r>
        <w:rPr>
          <w:rFonts w:ascii="Arial" w:eastAsia="Arial" w:hAnsi="Arial" w:cs="Arial"/>
          <w:color w:val="00000A"/>
          <w:sz w:val="18"/>
        </w:rPr>
        <w:tab/>
      </w:r>
      <w:r>
        <w:rPr>
          <w:rFonts w:ascii="Arial" w:eastAsia="Arial" w:hAnsi="Arial" w:cs="Arial"/>
          <w:b/>
          <w:color w:val="00000A"/>
          <w:sz w:val="18"/>
        </w:rPr>
        <w:t xml:space="preserve">Robert C .T. </w:t>
      </w:r>
      <w:proofErr w:type="spellStart"/>
      <w:r>
        <w:rPr>
          <w:rFonts w:ascii="Arial" w:eastAsia="Arial" w:hAnsi="Arial" w:cs="Arial"/>
          <w:b/>
          <w:color w:val="00000A"/>
          <w:sz w:val="18"/>
        </w:rPr>
        <w:t>Wardley</w:t>
      </w:r>
      <w:proofErr w:type="spellEnd"/>
      <w:r>
        <w:rPr>
          <w:rFonts w:ascii="Arial" w:eastAsia="Arial" w:hAnsi="Arial" w:cs="Arial"/>
          <w:b/>
          <w:color w:val="00000A"/>
          <w:sz w:val="18"/>
        </w:rPr>
        <w:t xml:space="preserve"> (Chairman), Katherine Whitbread. (Vice Chairman), Robert C. Rous, Matt </w:t>
      </w:r>
      <w:proofErr w:type="spellStart"/>
      <w:r>
        <w:rPr>
          <w:rFonts w:ascii="Arial" w:eastAsia="Arial" w:hAnsi="Arial" w:cs="Arial"/>
          <w:b/>
          <w:color w:val="00000A"/>
          <w:sz w:val="18"/>
        </w:rPr>
        <w:t>Lunn</w:t>
      </w:r>
      <w:proofErr w:type="spellEnd"/>
      <w:r>
        <w:rPr>
          <w:rFonts w:ascii="Arial" w:eastAsia="Arial" w:hAnsi="Arial" w:cs="Arial"/>
          <w:b/>
          <w:color w:val="00000A"/>
          <w:sz w:val="18"/>
        </w:rPr>
        <w:t xml:space="preserve">, John </w:t>
      </w:r>
      <w:proofErr w:type="spellStart"/>
      <w:r>
        <w:rPr>
          <w:rFonts w:ascii="Arial" w:eastAsia="Arial" w:hAnsi="Arial" w:cs="Arial"/>
          <w:b/>
          <w:color w:val="00000A"/>
          <w:sz w:val="18"/>
        </w:rPr>
        <w:t>Calver</w:t>
      </w:r>
      <w:proofErr w:type="spellEnd"/>
      <w:r>
        <w:rPr>
          <w:rFonts w:ascii="Arial" w:eastAsia="Arial" w:hAnsi="Arial" w:cs="Arial"/>
          <w:b/>
          <w:color w:val="00000A"/>
          <w:sz w:val="18"/>
        </w:rPr>
        <w:t>, Mary Mann, Doris Dearing,</w:t>
      </w:r>
      <w:r>
        <w:rPr>
          <w:rFonts w:ascii="Arial" w:eastAsia="Arial" w:hAnsi="Arial" w:cs="Arial"/>
          <w:b/>
          <w:i/>
          <w:color w:val="00000A"/>
          <w:sz w:val="18"/>
        </w:rPr>
        <w:t xml:space="preserve"> </w:t>
      </w:r>
      <w:r>
        <w:rPr>
          <w:rFonts w:ascii="Arial" w:eastAsia="Arial" w:hAnsi="Arial" w:cs="Arial"/>
          <w:b/>
          <w:color w:val="00000A"/>
          <w:sz w:val="18"/>
        </w:rPr>
        <w:t>Nick Watts</w:t>
      </w:r>
      <w:proofErr w:type="gramStart"/>
      <w:r>
        <w:rPr>
          <w:rFonts w:ascii="Arial" w:eastAsia="Arial" w:hAnsi="Arial" w:cs="Arial"/>
          <w:b/>
          <w:color w:val="00000A"/>
          <w:sz w:val="18"/>
        </w:rPr>
        <w:t>,  Rebecca</w:t>
      </w:r>
      <w:proofErr w:type="gramEnd"/>
      <w:r>
        <w:rPr>
          <w:rFonts w:ascii="Arial" w:eastAsia="Arial" w:hAnsi="Arial" w:cs="Arial"/>
          <w:b/>
          <w:color w:val="00000A"/>
          <w:sz w:val="18"/>
        </w:rPr>
        <w:t xml:space="preserve"> Smith</w:t>
      </w:r>
      <w:r>
        <w:rPr>
          <w:rFonts w:ascii="Liberation Serif" w:eastAsia="Liberation Serif" w:hAnsi="Liberation Serif" w:cs="Liberation Serif"/>
          <w:color w:val="00000A"/>
        </w:rPr>
        <w:t xml:space="preserve"> </w:t>
      </w:r>
    </w:p>
    <w:p w:rsidR="00DC59AF" w:rsidRDefault="00DC59AF">
      <w:pPr>
        <w:suppressAutoHyphens/>
        <w:ind w:left="1440" w:hanging="1440"/>
        <w:jc w:val="both"/>
        <w:rPr>
          <w:rFonts w:ascii="Liberation Serif" w:eastAsia="Liberation Serif" w:hAnsi="Liberation Serif" w:cs="Liberation Serif"/>
          <w:color w:val="00000A"/>
        </w:rPr>
      </w:pPr>
    </w:p>
    <w:p w:rsidR="00DC59AF" w:rsidRDefault="00A469BC">
      <w:pPr>
        <w:suppressAutoHyphens/>
        <w:ind w:left="1440" w:hanging="1440"/>
        <w:jc w:val="both"/>
        <w:rPr>
          <w:rFonts w:ascii="Liberation Serif" w:eastAsia="Liberation Serif" w:hAnsi="Liberation Serif" w:cs="Liberation Serif"/>
          <w:color w:val="00000A"/>
        </w:rPr>
      </w:pPr>
      <w:r>
        <w:rPr>
          <w:rFonts w:ascii="Arial" w:eastAsia="Arial" w:hAnsi="Arial" w:cs="Arial"/>
          <w:color w:val="00000A"/>
          <w:sz w:val="22"/>
        </w:rPr>
        <w:t>Present:</w:t>
      </w:r>
      <w:r>
        <w:rPr>
          <w:rFonts w:ascii="Arial" w:eastAsia="Arial" w:hAnsi="Arial" w:cs="Arial"/>
          <w:color w:val="00000A"/>
          <w:sz w:val="22"/>
        </w:rPr>
        <w:tab/>
        <w:t xml:space="preserve">Cllr Robert C .T. </w:t>
      </w:r>
      <w:proofErr w:type="spellStart"/>
      <w:r>
        <w:rPr>
          <w:rFonts w:ascii="Arial" w:eastAsia="Arial" w:hAnsi="Arial" w:cs="Arial"/>
          <w:color w:val="00000A"/>
          <w:sz w:val="22"/>
        </w:rPr>
        <w:t>Wardley</w:t>
      </w:r>
      <w:proofErr w:type="spellEnd"/>
      <w:r>
        <w:rPr>
          <w:rFonts w:ascii="Arial" w:eastAsia="Arial" w:hAnsi="Arial" w:cs="Arial"/>
          <w:color w:val="00000A"/>
          <w:sz w:val="22"/>
        </w:rPr>
        <w:t xml:space="preserve"> (Chairman), Cllr Katherine Whitbread. (Vice Chairman), </w:t>
      </w:r>
      <w:r>
        <w:rPr>
          <w:rFonts w:ascii="Arial" w:eastAsia="Arial" w:hAnsi="Arial" w:cs="Arial"/>
          <w:color w:val="00000A"/>
          <w:sz w:val="22"/>
        </w:rPr>
        <w:t xml:space="preserve">Cllr John </w:t>
      </w:r>
      <w:proofErr w:type="spellStart"/>
      <w:r>
        <w:rPr>
          <w:rFonts w:ascii="Arial" w:eastAsia="Arial" w:hAnsi="Arial" w:cs="Arial"/>
          <w:color w:val="00000A"/>
          <w:sz w:val="22"/>
        </w:rPr>
        <w:t>Calver</w:t>
      </w:r>
      <w:proofErr w:type="spellEnd"/>
      <w:r>
        <w:rPr>
          <w:rFonts w:ascii="Arial" w:eastAsia="Arial" w:hAnsi="Arial" w:cs="Arial"/>
          <w:color w:val="00000A"/>
          <w:sz w:val="22"/>
        </w:rPr>
        <w:t>, Cllr Mary Mann, Cllr Nick Watts</w:t>
      </w:r>
      <w:proofErr w:type="gramStart"/>
      <w:r>
        <w:rPr>
          <w:rFonts w:ascii="Arial" w:eastAsia="Arial" w:hAnsi="Arial" w:cs="Arial"/>
          <w:color w:val="00000A"/>
          <w:sz w:val="22"/>
        </w:rPr>
        <w:t>,  Cllr</w:t>
      </w:r>
      <w:proofErr w:type="gramEnd"/>
      <w:r>
        <w:rPr>
          <w:rFonts w:ascii="Arial" w:eastAsia="Arial" w:hAnsi="Arial" w:cs="Arial"/>
          <w:color w:val="00000A"/>
          <w:sz w:val="22"/>
        </w:rPr>
        <w:t xml:space="preserve"> Rebecca Smith </w:t>
      </w:r>
    </w:p>
    <w:p w:rsidR="00DC59AF" w:rsidRDefault="00DC59AF">
      <w:pPr>
        <w:suppressAutoHyphens/>
        <w:ind w:left="1440" w:hanging="1440"/>
        <w:jc w:val="both"/>
        <w:rPr>
          <w:rFonts w:ascii="Liberation Serif" w:eastAsia="Liberation Serif" w:hAnsi="Liberation Serif" w:cs="Liberation Serif"/>
          <w:color w:val="00000A"/>
        </w:rPr>
      </w:pPr>
    </w:p>
    <w:p w:rsidR="00DC59AF" w:rsidRDefault="00A469BC">
      <w:pPr>
        <w:suppressAutoHyphens/>
        <w:jc w:val="both"/>
        <w:rPr>
          <w:rFonts w:ascii="Arial" w:eastAsia="Arial" w:hAnsi="Arial" w:cs="Arial"/>
          <w:color w:val="00000A"/>
          <w:sz w:val="22"/>
        </w:rPr>
      </w:pPr>
      <w:r>
        <w:rPr>
          <w:rFonts w:ascii="Arial" w:eastAsia="Arial" w:hAnsi="Arial" w:cs="Arial"/>
          <w:color w:val="00000A"/>
          <w:sz w:val="22"/>
        </w:rPr>
        <w:t xml:space="preserve">1.         </w:t>
      </w:r>
      <w:r>
        <w:rPr>
          <w:rFonts w:ascii="Liberation Serif" w:eastAsia="Liberation Serif" w:hAnsi="Liberation Serif" w:cs="Liberation Serif"/>
          <w:color w:val="00000A"/>
          <w:sz w:val="22"/>
        </w:rPr>
        <w:t xml:space="preserve"> </w:t>
      </w:r>
      <w:r>
        <w:rPr>
          <w:rFonts w:ascii="Arial" w:eastAsia="Arial" w:hAnsi="Arial" w:cs="Arial"/>
          <w:color w:val="00000A"/>
          <w:sz w:val="22"/>
        </w:rPr>
        <w:t>APOLOGIES:  Cllr D. Dearing, Cllr R. Rous</w:t>
      </w:r>
    </w:p>
    <w:p w:rsidR="00DC59AF" w:rsidRDefault="00DC59AF">
      <w:pPr>
        <w:suppressAutoHyphens/>
        <w:ind w:left="1440" w:hanging="1440"/>
        <w:jc w:val="both"/>
        <w:rPr>
          <w:rFonts w:ascii="Arial" w:eastAsia="Arial" w:hAnsi="Arial" w:cs="Arial"/>
          <w:color w:val="00000A"/>
          <w:sz w:val="22"/>
        </w:rPr>
      </w:pPr>
    </w:p>
    <w:p w:rsidR="00DC59AF" w:rsidRDefault="00A469BC">
      <w:pPr>
        <w:suppressAutoHyphens/>
        <w:ind w:right="-732"/>
        <w:jc w:val="both"/>
        <w:rPr>
          <w:rFonts w:ascii="Arial" w:eastAsia="Arial" w:hAnsi="Arial" w:cs="Arial"/>
          <w:color w:val="00000A"/>
          <w:sz w:val="22"/>
        </w:rPr>
      </w:pPr>
      <w:r>
        <w:rPr>
          <w:rFonts w:ascii="Arial" w:eastAsia="Arial" w:hAnsi="Arial" w:cs="Arial"/>
          <w:color w:val="00000A"/>
          <w:sz w:val="22"/>
        </w:rPr>
        <w:t xml:space="preserve">2.  </w:t>
      </w:r>
      <w:r>
        <w:rPr>
          <w:rFonts w:ascii="Arial" w:eastAsia="Arial" w:hAnsi="Arial" w:cs="Arial"/>
          <w:color w:val="00000A"/>
          <w:sz w:val="22"/>
        </w:rPr>
        <w:tab/>
        <w:t>MINUTES OF THE PLANNING MEETING HELD ON MONDAY MARCH 20TH 2017:</w:t>
      </w:r>
    </w:p>
    <w:p w:rsidR="00DC59AF" w:rsidRDefault="00A469BC">
      <w:pPr>
        <w:suppressAutoHyphens/>
        <w:ind w:right="-732"/>
        <w:jc w:val="both"/>
        <w:rPr>
          <w:rFonts w:ascii="Liberation Serif" w:eastAsia="Liberation Serif" w:hAnsi="Liberation Serif" w:cs="Liberation Serif"/>
          <w:color w:val="00000A"/>
          <w:sz w:val="22"/>
        </w:rPr>
      </w:pPr>
      <w:r>
        <w:rPr>
          <w:rFonts w:ascii="Arial" w:eastAsia="Arial" w:hAnsi="Arial" w:cs="Arial"/>
          <w:color w:val="00000A"/>
          <w:sz w:val="22"/>
        </w:rPr>
        <w:tab/>
        <w:t>These were agreed and signed as a true record</w:t>
      </w:r>
    </w:p>
    <w:p w:rsidR="00DC59AF" w:rsidRDefault="00DC59AF">
      <w:pPr>
        <w:suppressAutoHyphens/>
        <w:jc w:val="both"/>
        <w:rPr>
          <w:rFonts w:ascii="Liberation Serif" w:eastAsia="Liberation Serif" w:hAnsi="Liberation Serif" w:cs="Liberation Serif"/>
          <w:color w:val="00000A"/>
          <w:sz w:val="22"/>
        </w:rPr>
      </w:pPr>
    </w:p>
    <w:p w:rsidR="00DC59AF" w:rsidRDefault="00A469BC">
      <w:pPr>
        <w:suppressAutoHyphens/>
        <w:jc w:val="both"/>
        <w:rPr>
          <w:rFonts w:ascii="Arial" w:eastAsia="Arial" w:hAnsi="Arial" w:cs="Arial"/>
          <w:color w:val="00000A"/>
          <w:sz w:val="28"/>
        </w:rPr>
      </w:pPr>
      <w:r>
        <w:rPr>
          <w:rFonts w:ascii="Arial" w:eastAsia="Arial" w:hAnsi="Arial" w:cs="Arial"/>
          <w:color w:val="00000A"/>
          <w:sz w:val="22"/>
        </w:rPr>
        <w:t xml:space="preserve">3.  </w:t>
      </w:r>
      <w:r>
        <w:rPr>
          <w:rFonts w:ascii="Arial" w:eastAsia="Arial" w:hAnsi="Arial" w:cs="Arial"/>
          <w:color w:val="00000A"/>
          <w:sz w:val="22"/>
        </w:rPr>
        <w:tab/>
      </w:r>
      <w:r>
        <w:rPr>
          <w:rFonts w:ascii="Liberation Serif" w:eastAsia="Liberation Serif" w:hAnsi="Liberation Serif" w:cs="Liberation Serif"/>
          <w:color w:val="00000A"/>
          <w:sz w:val="22"/>
        </w:rPr>
        <w:t xml:space="preserve"> </w:t>
      </w:r>
      <w:r>
        <w:rPr>
          <w:rFonts w:ascii="Arial" w:eastAsia="Arial" w:hAnsi="Arial" w:cs="Arial"/>
          <w:color w:val="00000A"/>
          <w:sz w:val="22"/>
        </w:rPr>
        <w:t>DECLARATIONS OF INTEREST: None</w:t>
      </w:r>
    </w:p>
    <w:p w:rsidR="00DC59AF" w:rsidRDefault="00DC59AF">
      <w:pPr>
        <w:suppressAutoHyphens/>
        <w:ind w:left="720"/>
        <w:jc w:val="both"/>
        <w:rPr>
          <w:rFonts w:ascii="Arial" w:eastAsia="Arial" w:hAnsi="Arial" w:cs="Arial"/>
          <w:b/>
          <w:color w:val="00000A"/>
          <w:sz w:val="22"/>
        </w:rPr>
      </w:pPr>
    </w:p>
    <w:p w:rsidR="00DC59AF" w:rsidRDefault="00A469BC">
      <w:pPr>
        <w:suppressAutoHyphens/>
        <w:ind w:left="720" w:right="-784" w:hanging="720"/>
        <w:rPr>
          <w:rFonts w:ascii="Arial" w:eastAsia="Arial" w:hAnsi="Arial" w:cs="Arial"/>
          <w:color w:val="00000A"/>
          <w:sz w:val="22"/>
        </w:rPr>
      </w:pPr>
      <w:r>
        <w:rPr>
          <w:rFonts w:ascii="Arial" w:eastAsia="Arial" w:hAnsi="Arial" w:cs="Arial"/>
          <w:color w:val="00000A"/>
          <w:sz w:val="22"/>
        </w:rPr>
        <w:t>4.</w:t>
      </w:r>
      <w:r>
        <w:rPr>
          <w:rFonts w:ascii="Arial" w:eastAsia="Arial" w:hAnsi="Arial" w:cs="Arial"/>
          <w:color w:val="00000A"/>
          <w:sz w:val="22"/>
        </w:rPr>
        <w:tab/>
        <w:t>PLANNING APPLICATION</w:t>
      </w:r>
      <w:proofErr w:type="gramStart"/>
      <w:r>
        <w:rPr>
          <w:rFonts w:ascii="Arial" w:eastAsia="Arial" w:hAnsi="Arial" w:cs="Arial"/>
          <w:color w:val="00000A"/>
          <w:sz w:val="22"/>
        </w:rPr>
        <w:t>:DC</w:t>
      </w:r>
      <w:proofErr w:type="gramEnd"/>
      <w:r>
        <w:rPr>
          <w:rFonts w:ascii="Arial" w:eastAsia="Arial" w:hAnsi="Arial" w:cs="Arial"/>
          <w:color w:val="00000A"/>
          <w:sz w:val="22"/>
        </w:rPr>
        <w:t xml:space="preserve">/17/1154/FUL:  Construction of new dwelling on garden area between existing dwellings, and provision of new vehicular access to Tower Bungalow:  Tower Bungalow, Owls Green, </w:t>
      </w:r>
      <w:proofErr w:type="spellStart"/>
      <w:r>
        <w:rPr>
          <w:rFonts w:ascii="Arial" w:eastAsia="Arial" w:hAnsi="Arial" w:cs="Arial"/>
          <w:color w:val="00000A"/>
          <w:sz w:val="22"/>
        </w:rPr>
        <w:t>Dennington</w:t>
      </w:r>
      <w:proofErr w:type="spellEnd"/>
      <w:r>
        <w:rPr>
          <w:rFonts w:ascii="Arial" w:eastAsia="Arial" w:hAnsi="Arial" w:cs="Arial"/>
          <w:color w:val="00000A"/>
          <w:sz w:val="22"/>
        </w:rPr>
        <w:t>:</w:t>
      </w:r>
    </w:p>
    <w:p w:rsidR="00DC59AF" w:rsidRDefault="00A469BC">
      <w:pPr>
        <w:suppressAutoHyphens/>
        <w:ind w:left="720" w:right="-784" w:hanging="720"/>
        <w:rPr>
          <w:rFonts w:ascii="Arial" w:eastAsia="Arial" w:hAnsi="Arial" w:cs="Arial"/>
          <w:color w:val="00000A"/>
          <w:sz w:val="22"/>
        </w:rPr>
      </w:pPr>
      <w:r>
        <w:rPr>
          <w:rFonts w:ascii="Arial" w:eastAsia="Arial" w:hAnsi="Arial" w:cs="Arial"/>
          <w:color w:val="00000A"/>
          <w:sz w:val="22"/>
        </w:rPr>
        <w:tab/>
      </w:r>
      <w:r>
        <w:rPr>
          <w:rFonts w:ascii="Arial" w:eastAsia="Arial" w:hAnsi="Arial" w:cs="Arial"/>
          <w:color w:val="00000A"/>
          <w:sz w:val="22"/>
        </w:rPr>
        <w:t xml:space="preserve">Following a lengthy discussion and examination of the plans and supporting statements, </w:t>
      </w:r>
      <w:proofErr w:type="gramStart"/>
      <w:r>
        <w:rPr>
          <w:rFonts w:ascii="Arial" w:eastAsia="Arial" w:hAnsi="Arial" w:cs="Arial"/>
          <w:color w:val="00000A"/>
          <w:sz w:val="22"/>
        </w:rPr>
        <w:t>councillors</w:t>
      </w:r>
      <w:proofErr w:type="gramEnd"/>
      <w:r>
        <w:rPr>
          <w:rFonts w:ascii="Arial" w:eastAsia="Arial" w:hAnsi="Arial" w:cs="Arial"/>
          <w:color w:val="00000A"/>
          <w:sz w:val="22"/>
        </w:rPr>
        <w:t xml:space="preserve"> voted unanimously to recommend refusal. The decision is based on the following</w:t>
      </w:r>
      <w:proofErr w:type="gramStart"/>
      <w:r>
        <w:rPr>
          <w:rFonts w:ascii="Arial" w:eastAsia="Arial" w:hAnsi="Arial" w:cs="Arial"/>
          <w:color w:val="00000A"/>
          <w:sz w:val="22"/>
        </w:rPr>
        <w:t>:-</w:t>
      </w:r>
      <w:proofErr w:type="gramEnd"/>
    </w:p>
    <w:p w:rsidR="00DC59AF" w:rsidRDefault="00DC59AF">
      <w:pPr>
        <w:suppressAutoHyphens/>
        <w:ind w:left="720" w:right="-784" w:hanging="720"/>
        <w:rPr>
          <w:rFonts w:ascii="Arial" w:eastAsia="Arial" w:hAnsi="Arial" w:cs="Arial"/>
          <w:color w:val="00000A"/>
          <w:sz w:val="22"/>
        </w:rPr>
      </w:pPr>
    </w:p>
    <w:p w:rsidR="00DC59AF" w:rsidRDefault="00A469BC">
      <w:pPr>
        <w:spacing w:after="160" w:line="259" w:lineRule="auto"/>
        <w:rPr>
          <w:rFonts w:ascii="Arial" w:eastAsia="Arial" w:hAnsi="Arial" w:cs="Arial"/>
          <w:b/>
          <w:color w:val="0000FF"/>
          <w:sz w:val="22"/>
        </w:rPr>
      </w:pPr>
      <w:r>
        <w:rPr>
          <w:rFonts w:ascii="Arial" w:eastAsia="Arial" w:hAnsi="Arial" w:cs="Arial"/>
          <w:color w:val="00000A"/>
          <w:sz w:val="22"/>
        </w:rPr>
        <w:tab/>
      </w:r>
      <w:r>
        <w:rPr>
          <w:rFonts w:ascii="Arial" w:eastAsia="Arial" w:hAnsi="Arial" w:cs="Arial"/>
          <w:b/>
          <w:sz w:val="22"/>
          <w:u w:val="single"/>
        </w:rPr>
        <w:t>Strategic Policy SP29 – The Countryside</w:t>
      </w:r>
    </w:p>
    <w:p w:rsidR="00DC59AF" w:rsidRDefault="00A469BC">
      <w:pPr>
        <w:spacing w:after="160" w:line="259" w:lineRule="auto"/>
        <w:rPr>
          <w:rFonts w:ascii="Arial" w:eastAsia="Arial" w:hAnsi="Arial" w:cs="Arial"/>
          <w:b/>
          <w:color w:val="0000FF"/>
          <w:sz w:val="22"/>
        </w:rPr>
      </w:pPr>
      <w:proofErr w:type="spellStart"/>
      <w:proofErr w:type="gramStart"/>
      <w:r>
        <w:rPr>
          <w:rFonts w:ascii="Arial" w:eastAsia="Arial" w:hAnsi="Arial" w:cs="Arial"/>
          <w:sz w:val="22"/>
        </w:rPr>
        <w:t>i.The</w:t>
      </w:r>
      <w:proofErr w:type="spellEnd"/>
      <w:proofErr w:type="gramEnd"/>
      <w:r>
        <w:rPr>
          <w:rFonts w:ascii="Arial" w:eastAsia="Arial" w:hAnsi="Arial" w:cs="Arial"/>
          <w:sz w:val="22"/>
        </w:rPr>
        <w:t xml:space="preserve"> application site at Owls Gre</w:t>
      </w:r>
      <w:r>
        <w:rPr>
          <w:rFonts w:ascii="Arial" w:eastAsia="Arial" w:hAnsi="Arial" w:cs="Arial"/>
          <w:sz w:val="22"/>
        </w:rPr>
        <w:t xml:space="preserve">en is located the Countryside with no Physical Limits and therefore policy SP29 is applicable.  </w:t>
      </w:r>
    </w:p>
    <w:p w:rsidR="00DC59AF" w:rsidRDefault="00A469BC">
      <w:pPr>
        <w:spacing w:after="160" w:line="259" w:lineRule="auto"/>
        <w:rPr>
          <w:rFonts w:ascii="Arial" w:eastAsia="Arial" w:hAnsi="Arial" w:cs="Arial"/>
          <w:i/>
          <w:sz w:val="22"/>
        </w:rPr>
      </w:pPr>
      <w:r>
        <w:rPr>
          <w:rFonts w:ascii="Arial" w:eastAsia="Arial" w:hAnsi="Arial" w:cs="Arial"/>
          <w:i/>
          <w:sz w:val="22"/>
        </w:rPr>
        <w:t xml:space="preserve">“The Countryside comprises an important economic, social and environmental asset </w:t>
      </w:r>
      <w:proofErr w:type="gramStart"/>
      <w:r>
        <w:rPr>
          <w:rFonts w:ascii="Arial" w:eastAsia="Arial" w:hAnsi="Arial" w:cs="Arial"/>
          <w:i/>
          <w:sz w:val="22"/>
        </w:rPr>
        <w:t>within  the</w:t>
      </w:r>
      <w:proofErr w:type="gramEnd"/>
      <w:r>
        <w:rPr>
          <w:rFonts w:ascii="Arial" w:eastAsia="Arial" w:hAnsi="Arial" w:cs="Arial"/>
          <w:i/>
          <w:sz w:val="22"/>
        </w:rPr>
        <w:t xml:space="preserve"> district which it is important to sustain.</w:t>
      </w:r>
    </w:p>
    <w:p w:rsidR="00DC59AF" w:rsidRDefault="00A469BC">
      <w:pPr>
        <w:ind w:left="720"/>
        <w:rPr>
          <w:rFonts w:ascii="Arial" w:eastAsia="Arial" w:hAnsi="Arial" w:cs="Arial"/>
          <w:i/>
          <w:sz w:val="22"/>
        </w:rPr>
      </w:pPr>
      <w:r>
        <w:rPr>
          <w:rFonts w:ascii="Arial" w:eastAsia="Arial" w:hAnsi="Arial" w:cs="Arial"/>
          <w:i/>
          <w:sz w:val="22"/>
        </w:rPr>
        <w:t xml:space="preserve">The strategy in respect of new development outside the physical limits of those settlements defined as Major Centres, Towns, Key and Local Service Centres or in accordance with Policy SP28, is that it will be limited to that which of necessity requires to </w:t>
      </w:r>
      <w:r>
        <w:rPr>
          <w:rFonts w:ascii="Arial" w:eastAsia="Arial" w:hAnsi="Arial" w:cs="Arial"/>
          <w:i/>
          <w:sz w:val="22"/>
        </w:rPr>
        <w:t xml:space="preserve">be located there and accords with other relevant policies within the Core Strategy (e.g. Policies SP7 or DM13); or would otherwise accord with </w:t>
      </w:r>
      <w:r>
        <w:rPr>
          <w:rFonts w:ascii="Arial" w:eastAsia="Arial" w:hAnsi="Arial" w:cs="Arial"/>
          <w:i/>
          <w:sz w:val="22"/>
        </w:rPr>
        <w:lastRenderedPageBreak/>
        <w:t>special circumstances outlined in paragraph 55 of the National Planning Policy Framework.”</w:t>
      </w:r>
    </w:p>
    <w:p w:rsidR="00DC59AF" w:rsidRDefault="00DC59AF">
      <w:pPr>
        <w:rPr>
          <w:rFonts w:ascii="Arial" w:eastAsia="Arial" w:hAnsi="Arial" w:cs="Arial"/>
          <w:sz w:val="22"/>
        </w:rPr>
      </w:pPr>
    </w:p>
    <w:p w:rsidR="00DC59AF" w:rsidRDefault="00A469BC">
      <w:pPr>
        <w:rPr>
          <w:rFonts w:ascii="Arial" w:eastAsia="Arial" w:hAnsi="Arial" w:cs="Arial"/>
          <w:b/>
          <w:color w:val="0000FF"/>
          <w:sz w:val="22"/>
        </w:rPr>
      </w:pPr>
      <w:r>
        <w:rPr>
          <w:rFonts w:ascii="Arial" w:eastAsia="Arial" w:hAnsi="Arial" w:cs="Arial"/>
          <w:sz w:val="22"/>
        </w:rPr>
        <w:t>ii. Although Owls Gre</w:t>
      </w:r>
      <w:r>
        <w:rPr>
          <w:rFonts w:ascii="Arial" w:eastAsia="Arial" w:hAnsi="Arial" w:cs="Arial"/>
          <w:sz w:val="22"/>
        </w:rPr>
        <w:t xml:space="preserve">en has a cluster of 5 or more properties this dwelling does not satisfy or meet the criteria as set out in DM4 </w:t>
      </w:r>
    </w:p>
    <w:p w:rsidR="00DC59AF" w:rsidRDefault="00DC59AF">
      <w:pPr>
        <w:ind w:left="720"/>
        <w:rPr>
          <w:rFonts w:ascii="Arial" w:eastAsia="Arial" w:hAnsi="Arial" w:cs="Arial"/>
          <w:sz w:val="22"/>
        </w:rPr>
      </w:pPr>
    </w:p>
    <w:p w:rsidR="00DC59AF" w:rsidRDefault="00A469BC">
      <w:pPr>
        <w:ind w:left="720"/>
        <w:rPr>
          <w:rFonts w:ascii="Arial" w:eastAsia="Arial" w:hAnsi="Arial" w:cs="Arial"/>
          <w:sz w:val="22"/>
        </w:rPr>
      </w:pPr>
      <w:r>
        <w:rPr>
          <w:rFonts w:ascii="Arial" w:eastAsia="Arial" w:hAnsi="Arial" w:cs="Arial"/>
          <w:sz w:val="22"/>
        </w:rPr>
        <w:t xml:space="preserve"> “</w:t>
      </w:r>
      <w:proofErr w:type="gramStart"/>
      <w:r>
        <w:rPr>
          <w:rFonts w:ascii="Arial" w:eastAsia="Arial" w:hAnsi="Arial" w:cs="Arial"/>
          <w:i/>
          <w:sz w:val="22"/>
        </w:rPr>
        <w:t>whereas</w:t>
      </w:r>
      <w:proofErr w:type="gramEnd"/>
      <w:r>
        <w:rPr>
          <w:rFonts w:ascii="Arial" w:eastAsia="Arial" w:hAnsi="Arial" w:cs="Arial"/>
          <w:i/>
          <w:sz w:val="22"/>
        </w:rPr>
        <w:t xml:space="preserve"> it is not located no more than 150 metres from the edge of an existing settlement identified as a Major Centre, Town, Key Service Cen</w:t>
      </w:r>
      <w:r>
        <w:rPr>
          <w:rFonts w:ascii="Arial" w:eastAsia="Arial" w:hAnsi="Arial" w:cs="Arial"/>
          <w:i/>
          <w:sz w:val="22"/>
        </w:rPr>
        <w:t>tre or Local Service Centre”.</w:t>
      </w:r>
      <w:r>
        <w:rPr>
          <w:rFonts w:ascii="Arial" w:eastAsia="Arial" w:hAnsi="Arial" w:cs="Arial"/>
          <w:sz w:val="22"/>
        </w:rPr>
        <w:t xml:space="preserve"> </w:t>
      </w:r>
    </w:p>
    <w:p w:rsidR="00DC59AF" w:rsidRDefault="00DC59AF">
      <w:pPr>
        <w:ind w:left="720"/>
        <w:rPr>
          <w:rFonts w:ascii="Arial" w:eastAsia="Arial" w:hAnsi="Arial" w:cs="Arial"/>
          <w:i/>
          <w:sz w:val="22"/>
        </w:rPr>
      </w:pPr>
    </w:p>
    <w:p w:rsidR="00DC59AF" w:rsidRDefault="00A469BC">
      <w:pPr>
        <w:ind w:left="720"/>
        <w:rPr>
          <w:rFonts w:ascii="Arial" w:eastAsia="Arial" w:hAnsi="Arial" w:cs="Arial"/>
          <w:i/>
          <w:sz w:val="22"/>
        </w:rPr>
      </w:pPr>
      <w:r>
        <w:rPr>
          <w:rFonts w:ascii="Arial" w:eastAsia="Arial" w:hAnsi="Arial" w:cs="Arial"/>
          <w:i/>
          <w:sz w:val="22"/>
        </w:rPr>
        <w:t>In addition to Other Villages there are settlements with no physical form, being a scattering of properties or clusters of properties, even though together they form a parish. These, together with all other hamlets and clust</w:t>
      </w:r>
      <w:r>
        <w:rPr>
          <w:rFonts w:ascii="Arial" w:eastAsia="Arial" w:hAnsi="Arial" w:cs="Arial"/>
          <w:i/>
          <w:sz w:val="22"/>
        </w:rPr>
        <w:t>ers will be considered to form part of the ‘Countryside’ (see Policy SP29.</w:t>
      </w:r>
    </w:p>
    <w:p w:rsidR="00DC59AF" w:rsidRDefault="00DC59AF">
      <w:pPr>
        <w:rPr>
          <w:rFonts w:ascii="Arial" w:eastAsia="Arial" w:hAnsi="Arial" w:cs="Arial"/>
          <w:i/>
          <w:sz w:val="22"/>
        </w:rPr>
      </w:pPr>
    </w:p>
    <w:p w:rsidR="00DC59AF" w:rsidRDefault="00A469BC">
      <w:pPr>
        <w:spacing w:after="160" w:line="259" w:lineRule="auto"/>
        <w:rPr>
          <w:rFonts w:ascii="Arial" w:eastAsia="Arial" w:hAnsi="Arial" w:cs="Arial"/>
          <w:i/>
          <w:sz w:val="22"/>
        </w:rPr>
      </w:pPr>
      <w:r>
        <w:rPr>
          <w:rFonts w:ascii="Arial" w:eastAsia="Arial" w:hAnsi="Arial" w:cs="Arial"/>
          <w:sz w:val="22"/>
        </w:rPr>
        <w:t>iii. Councillors have stated that Policy SP29 for this dwelling under new housing in the Countryside is not compliant with the criteria as stated in the Local Plan Document.</w:t>
      </w:r>
      <w:r>
        <w:rPr>
          <w:rFonts w:ascii="Arial" w:eastAsia="Arial" w:hAnsi="Arial" w:cs="Arial"/>
          <w:b/>
          <w:i/>
          <w:color w:val="0000FF"/>
          <w:sz w:val="22"/>
        </w:rPr>
        <w:t xml:space="preserve"> </w:t>
      </w:r>
    </w:p>
    <w:p w:rsidR="00DC59AF" w:rsidRDefault="00A469BC">
      <w:pPr>
        <w:ind w:left="720"/>
        <w:rPr>
          <w:rFonts w:ascii="Arial" w:eastAsia="Arial" w:hAnsi="Arial" w:cs="Arial"/>
          <w:i/>
          <w:sz w:val="22"/>
        </w:rPr>
      </w:pPr>
      <w:r>
        <w:rPr>
          <w:rFonts w:ascii="Arial" w:eastAsia="Arial" w:hAnsi="Arial" w:cs="Arial"/>
          <w:i/>
          <w:sz w:val="22"/>
        </w:rPr>
        <w:t xml:space="preserve"> “</w:t>
      </w:r>
      <w:proofErr w:type="gramStart"/>
      <w:r>
        <w:rPr>
          <w:rFonts w:ascii="Arial" w:eastAsia="Arial" w:hAnsi="Arial" w:cs="Arial"/>
          <w:i/>
          <w:sz w:val="22"/>
        </w:rPr>
        <w:t>new</w:t>
      </w:r>
      <w:proofErr w:type="gramEnd"/>
      <w:r>
        <w:rPr>
          <w:rFonts w:ascii="Arial" w:eastAsia="Arial" w:hAnsi="Arial" w:cs="Arial"/>
          <w:i/>
          <w:sz w:val="22"/>
        </w:rPr>
        <w:t xml:space="preserve"> housing in the countryside will be allowed where it comprises:</w:t>
      </w:r>
    </w:p>
    <w:p w:rsidR="00DC59AF" w:rsidRDefault="00A469BC">
      <w:pPr>
        <w:ind w:left="720"/>
        <w:rPr>
          <w:rFonts w:ascii="Arial" w:eastAsia="Arial" w:hAnsi="Arial" w:cs="Arial"/>
          <w:i/>
          <w:sz w:val="22"/>
        </w:rPr>
      </w:pPr>
      <w:r>
        <w:rPr>
          <w:rFonts w:ascii="Arial" w:eastAsia="Arial" w:hAnsi="Arial" w:cs="Arial"/>
          <w:i/>
          <w:sz w:val="22"/>
        </w:rPr>
        <w:t>(a) Replacement dwellings on a one to one basis where they are no more visually intrusive in the countryside than the building to be replaced;</w:t>
      </w:r>
    </w:p>
    <w:p w:rsidR="00DC59AF" w:rsidRDefault="00A469BC">
      <w:pPr>
        <w:ind w:left="720"/>
        <w:rPr>
          <w:rFonts w:ascii="Arial" w:eastAsia="Arial" w:hAnsi="Arial" w:cs="Arial"/>
          <w:i/>
          <w:sz w:val="22"/>
        </w:rPr>
      </w:pPr>
      <w:r>
        <w:rPr>
          <w:rFonts w:ascii="Arial" w:eastAsia="Arial" w:hAnsi="Arial" w:cs="Arial"/>
          <w:i/>
          <w:sz w:val="22"/>
        </w:rPr>
        <w:t>(b) The sub-division of an existing larger dwelli</w:t>
      </w:r>
      <w:r>
        <w:rPr>
          <w:rFonts w:ascii="Arial" w:eastAsia="Arial" w:hAnsi="Arial" w:cs="Arial"/>
          <w:i/>
          <w:sz w:val="22"/>
        </w:rPr>
        <w:t>ng where this would meet a local need</w:t>
      </w:r>
      <w:proofErr w:type="gramStart"/>
      <w:r>
        <w:rPr>
          <w:rFonts w:ascii="Arial" w:eastAsia="Arial" w:hAnsi="Arial" w:cs="Arial"/>
          <w:i/>
          <w:sz w:val="22"/>
        </w:rPr>
        <w:t>;</w:t>
      </w:r>
      <w:proofErr w:type="gramEnd"/>
    </w:p>
    <w:p w:rsidR="00DC59AF" w:rsidRDefault="00A469BC">
      <w:pPr>
        <w:ind w:left="720"/>
        <w:rPr>
          <w:rFonts w:ascii="Arial" w:eastAsia="Arial" w:hAnsi="Arial" w:cs="Arial"/>
          <w:i/>
          <w:sz w:val="22"/>
        </w:rPr>
      </w:pPr>
      <w:r>
        <w:rPr>
          <w:rFonts w:ascii="Arial" w:eastAsia="Arial" w:hAnsi="Arial" w:cs="Arial"/>
          <w:i/>
          <w:sz w:val="22"/>
        </w:rPr>
        <w:t>(c</w:t>
      </w:r>
      <w:proofErr w:type="gramStart"/>
      <w:r>
        <w:rPr>
          <w:rFonts w:ascii="Arial" w:eastAsia="Arial" w:hAnsi="Arial" w:cs="Arial"/>
          <w:i/>
          <w:sz w:val="22"/>
        </w:rPr>
        <w:t>)  affordable</w:t>
      </w:r>
      <w:proofErr w:type="gramEnd"/>
      <w:r>
        <w:rPr>
          <w:rFonts w:ascii="Arial" w:eastAsia="Arial" w:hAnsi="Arial" w:cs="Arial"/>
          <w:i/>
          <w:sz w:val="22"/>
        </w:rPr>
        <w:t xml:space="preserve"> housing on ‘exception’ sites in accordance with Policy DM1;</w:t>
      </w:r>
    </w:p>
    <w:p w:rsidR="00DC59AF" w:rsidRDefault="00A469BC">
      <w:pPr>
        <w:ind w:left="720"/>
        <w:rPr>
          <w:rFonts w:ascii="Arial" w:eastAsia="Arial" w:hAnsi="Arial" w:cs="Arial"/>
          <w:i/>
          <w:sz w:val="22"/>
        </w:rPr>
      </w:pPr>
      <w:r>
        <w:rPr>
          <w:rFonts w:ascii="Arial" w:eastAsia="Arial" w:hAnsi="Arial" w:cs="Arial"/>
          <w:i/>
          <w:sz w:val="22"/>
        </w:rPr>
        <w:t>(d) Conversions of existing buildings subject to certain controls (Policy DM13);</w:t>
      </w:r>
    </w:p>
    <w:p w:rsidR="00DC59AF" w:rsidRDefault="00A469BC">
      <w:pPr>
        <w:ind w:left="720"/>
        <w:rPr>
          <w:rFonts w:ascii="Arial" w:eastAsia="Arial" w:hAnsi="Arial" w:cs="Arial"/>
          <w:i/>
          <w:sz w:val="22"/>
        </w:rPr>
      </w:pPr>
      <w:r>
        <w:rPr>
          <w:rFonts w:ascii="Arial" w:eastAsia="Arial" w:hAnsi="Arial" w:cs="Arial"/>
          <w:i/>
          <w:sz w:val="22"/>
        </w:rPr>
        <w:t>(e) Minor infilling within clusters of dwellings well relate</w:t>
      </w:r>
      <w:r>
        <w:rPr>
          <w:rFonts w:ascii="Arial" w:eastAsia="Arial" w:hAnsi="Arial" w:cs="Arial"/>
          <w:i/>
          <w:sz w:val="22"/>
        </w:rPr>
        <w:t>d to existing sustainable settlements</w:t>
      </w:r>
    </w:p>
    <w:p w:rsidR="00DC59AF" w:rsidRDefault="00A469BC">
      <w:pPr>
        <w:ind w:left="720"/>
        <w:rPr>
          <w:rFonts w:ascii="Arial" w:eastAsia="Arial" w:hAnsi="Arial" w:cs="Arial"/>
          <w:i/>
          <w:sz w:val="22"/>
        </w:rPr>
      </w:pPr>
      <w:r>
        <w:rPr>
          <w:rFonts w:ascii="Arial" w:eastAsia="Arial" w:hAnsi="Arial" w:cs="Arial"/>
          <w:i/>
          <w:sz w:val="22"/>
        </w:rPr>
        <w:t>(Policy DM4); or</w:t>
      </w:r>
    </w:p>
    <w:p w:rsidR="00DC59AF" w:rsidRDefault="00A469BC">
      <w:pPr>
        <w:ind w:left="720"/>
        <w:rPr>
          <w:rFonts w:ascii="ArialMT" w:eastAsia="ArialMT" w:hAnsi="ArialMT" w:cs="ArialMT"/>
          <w:i/>
          <w:sz w:val="22"/>
        </w:rPr>
      </w:pPr>
      <w:r>
        <w:rPr>
          <w:rFonts w:ascii="Arial" w:eastAsia="Arial" w:hAnsi="Arial" w:cs="Arial"/>
          <w:i/>
          <w:sz w:val="22"/>
        </w:rPr>
        <w:t xml:space="preserve">(f) Development which would otherwise accord with the special circumstances outlined in paragraph </w:t>
      </w:r>
      <w:r>
        <w:rPr>
          <w:rFonts w:ascii="ArialMT" w:eastAsia="ArialMT" w:hAnsi="ArialMT" w:cs="ArialMT"/>
          <w:i/>
          <w:sz w:val="22"/>
        </w:rPr>
        <w:t>55 of the National Planning Policy Framework”</w:t>
      </w:r>
    </w:p>
    <w:p w:rsidR="00DC59AF" w:rsidRDefault="00DC59AF">
      <w:pPr>
        <w:spacing w:after="160" w:line="259" w:lineRule="auto"/>
        <w:rPr>
          <w:rFonts w:ascii="Arial" w:eastAsia="Arial" w:hAnsi="Arial" w:cs="Arial"/>
          <w:b/>
          <w:sz w:val="22"/>
          <w:u w:val="single"/>
        </w:rPr>
      </w:pPr>
    </w:p>
    <w:p w:rsidR="00DC59AF" w:rsidRDefault="00A469BC">
      <w:pPr>
        <w:spacing w:after="160" w:line="259" w:lineRule="auto"/>
        <w:rPr>
          <w:rFonts w:ascii="Arial" w:eastAsia="Arial" w:hAnsi="Arial" w:cs="Arial"/>
          <w:b/>
          <w:sz w:val="22"/>
          <w:u w:val="single"/>
        </w:rPr>
      </w:pPr>
      <w:proofErr w:type="gramStart"/>
      <w:r>
        <w:rPr>
          <w:rFonts w:ascii="Arial" w:eastAsia="Arial" w:hAnsi="Arial" w:cs="Arial"/>
          <w:b/>
          <w:sz w:val="22"/>
          <w:u w:val="single"/>
        </w:rPr>
        <w:t>Strategic Policy SP28 – Other Villages.</w:t>
      </w:r>
      <w:proofErr w:type="gramEnd"/>
    </w:p>
    <w:p w:rsidR="00DC59AF" w:rsidRDefault="00A469BC">
      <w:pPr>
        <w:spacing w:after="160" w:line="259" w:lineRule="auto"/>
        <w:rPr>
          <w:rFonts w:ascii="Arial" w:eastAsia="Arial" w:hAnsi="Arial" w:cs="Arial"/>
          <w:color w:val="0000FF"/>
          <w:sz w:val="22"/>
          <w:u w:val="single"/>
        </w:rPr>
      </w:pPr>
      <w:r>
        <w:rPr>
          <w:rFonts w:ascii="Arial" w:eastAsia="Arial" w:hAnsi="Arial" w:cs="Arial"/>
          <w:sz w:val="22"/>
        </w:rPr>
        <w:t>iv. Councillors have stated that Policy SP28 for this dwelling under new housing in other Villages is not compliant with the criteria as stated in the Local Plan Document.</w:t>
      </w:r>
      <w:r>
        <w:rPr>
          <w:rFonts w:ascii="Arial" w:eastAsia="Arial" w:hAnsi="Arial" w:cs="Arial"/>
          <w:i/>
          <w:sz w:val="22"/>
        </w:rPr>
        <w:t xml:space="preserve"> </w:t>
      </w:r>
    </w:p>
    <w:p w:rsidR="00DC59AF" w:rsidRDefault="00A469BC">
      <w:pPr>
        <w:ind w:left="720"/>
        <w:rPr>
          <w:rFonts w:ascii="Arial" w:eastAsia="Arial" w:hAnsi="Arial" w:cs="Arial"/>
          <w:i/>
          <w:sz w:val="22"/>
        </w:rPr>
      </w:pPr>
      <w:r>
        <w:rPr>
          <w:rFonts w:ascii="Arial" w:eastAsia="Arial" w:hAnsi="Arial" w:cs="Arial"/>
          <w:i/>
          <w:sz w:val="22"/>
        </w:rPr>
        <w:t>The strategy for new housing in Other Villages is that it be strictly controlled and limited to:</w:t>
      </w:r>
    </w:p>
    <w:p w:rsidR="00DC59AF" w:rsidRDefault="00A469BC">
      <w:pPr>
        <w:ind w:left="720"/>
        <w:rPr>
          <w:rFonts w:ascii="Arial" w:eastAsia="Arial" w:hAnsi="Arial" w:cs="Arial"/>
          <w:i/>
          <w:sz w:val="22"/>
        </w:rPr>
      </w:pPr>
      <w:r>
        <w:rPr>
          <w:rFonts w:ascii="Arial" w:eastAsia="Arial" w:hAnsi="Arial" w:cs="Arial"/>
          <w:i/>
          <w:sz w:val="22"/>
        </w:rPr>
        <w:t xml:space="preserve">(a) </w:t>
      </w:r>
      <w:proofErr w:type="gramStart"/>
      <w:r>
        <w:rPr>
          <w:rFonts w:ascii="Arial" w:eastAsia="Arial" w:hAnsi="Arial" w:cs="Arial"/>
          <w:i/>
          <w:sz w:val="22"/>
          <w:u w:val="single"/>
        </w:rPr>
        <w:t>replacement</w:t>
      </w:r>
      <w:proofErr w:type="gramEnd"/>
      <w:r>
        <w:rPr>
          <w:rFonts w:ascii="Arial" w:eastAsia="Arial" w:hAnsi="Arial" w:cs="Arial"/>
          <w:i/>
          <w:sz w:val="22"/>
          <w:u w:val="single"/>
        </w:rPr>
        <w:t xml:space="preserve"> dwellings</w:t>
      </w:r>
      <w:r>
        <w:rPr>
          <w:rFonts w:ascii="Arial" w:eastAsia="Arial" w:hAnsi="Arial" w:cs="Arial"/>
          <w:i/>
          <w:sz w:val="22"/>
        </w:rPr>
        <w:t xml:space="preserve"> on a one to one basis where they are no more prominent or visually intrusive in the countryside than the building to be replaced;</w:t>
      </w:r>
    </w:p>
    <w:p w:rsidR="00DC59AF" w:rsidRDefault="00A469BC">
      <w:pPr>
        <w:ind w:left="720"/>
        <w:rPr>
          <w:rFonts w:ascii="Arial" w:eastAsia="Arial" w:hAnsi="Arial" w:cs="Arial"/>
          <w:i/>
          <w:sz w:val="22"/>
        </w:rPr>
      </w:pPr>
      <w:r>
        <w:rPr>
          <w:rFonts w:ascii="Arial" w:eastAsia="Arial" w:hAnsi="Arial" w:cs="Arial"/>
          <w:i/>
          <w:sz w:val="22"/>
        </w:rPr>
        <w:t>(b)</w:t>
      </w:r>
      <w:r>
        <w:rPr>
          <w:rFonts w:ascii="Arial" w:eastAsia="Arial" w:hAnsi="Arial" w:cs="Arial"/>
          <w:i/>
          <w:sz w:val="22"/>
        </w:rPr>
        <w:t xml:space="preserve"> </w:t>
      </w:r>
      <w:proofErr w:type="gramStart"/>
      <w:r>
        <w:rPr>
          <w:rFonts w:ascii="Arial" w:eastAsia="Arial" w:hAnsi="Arial" w:cs="Arial"/>
          <w:i/>
          <w:sz w:val="22"/>
        </w:rPr>
        <w:t>the</w:t>
      </w:r>
      <w:proofErr w:type="gramEnd"/>
      <w:r>
        <w:rPr>
          <w:rFonts w:ascii="Arial" w:eastAsia="Arial" w:hAnsi="Arial" w:cs="Arial"/>
          <w:i/>
          <w:sz w:val="22"/>
        </w:rPr>
        <w:t xml:space="preserve"> sub-division of an</w:t>
      </w:r>
      <w:r>
        <w:rPr>
          <w:rFonts w:ascii="Arial" w:eastAsia="Arial" w:hAnsi="Arial" w:cs="Arial"/>
          <w:i/>
          <w:sz w:val="22"/>
          <w:u w:val="single"/>
        </w:rPr>
        <w:t xml:space="preserve"> existing</w:t>
      </w:r>
      <w:r>
        <w:rPr>
          <w:rFonts w:ascii="Arial" w:eastAsia="Arial" w:hAnsi="Arial" w:cs="Arial"/>
          <w:i/>
          <w:sz w:val="22"/>
        </w:rPr>
        <w:t xml:space="preserve"> larger dwelling where this would meet a local need;</w:t>
      </w:r>
    </w:p>
    <w:p w:rsidR="00DC59AF" w:rsidRDefault="00A469BC">
      <w:pPr>
        <w:ind w:left="720"/>
        <w:rPr>
          <w:rFonts w:ascii="Arial" w:eastAsia="Arial" w:hAnsi="Arial" w:cs="Arial"/>
          <w:i/>
          <w:sz w:val="22"/>
        </w:rPr>
      </w:pPr>
      <w:r>
        <w:rPr>
          <w:rFonts w:ascii="Arial" w:eastAsia="Arial" w:hAnsi="Arial" w:cs="Arial"/>
          <w:i/>
          <w:sz w:val="22"/>
        </w:rPr>
        <w:t xml:space="preserve">(c) </w:t>
      </w:r>
      <w:proofErr w:type="gramStart"/>
      <w:r>
        <w:rPr>
          <w:rFonts w:ascii="Arial" w:eastAsia="Arial" w:hAnsi="Arial" w:cs="Arial"/>
          <w:i/>
          <w:sz w:val="22"/>
        </w:rPr>
        <w:t>conversion</w:t>
      </w:r>
      <w:proofErr w:type="gramEnd"/>
      <w:r>
        <w:rPr>
          <w:rFonts w:ascii="Arial" w:eastAsia="Arial" w:hAnsi="Arial" w:cs="Arial"/>
          <w:i/>
          <w:sz w:val="22"/>
        </w:rPr>
        <w:t xml:space="preserve"> of an </w:t>
      </w:r>
      <w:r>
        <w:rPr>
          <w:rFonts w:ascii="Arial" w:eastAsia="Arial" w:hAnsi="Arial" w:cs="Arial"/>
          <w:i/>
          <w:sz w:val="22"/>
          <w:u w:val="single"/>
        </w:rPr>
        <w:t>existing building</w:t>
      </w:r>
      <w:r>
        <w:rPr>
          <w:rFonts w:ascii="Arial" w:eastAsia="Arial" w:hAnsi="Arial" w:cs="Arial"/>
          <w:i/>
          <w:sz w:val="22"/>
        </w:rPr>
        <w:t xml:space="preserve"> subject to certain controls.</w:t>
      </w:r>
    </w:p>
    <w:p w:rsidR="00DC59AF" w:rsidRDefault="00DC59AF">
      <w:pPr>
        <w:ind w:left="720"/>
        <w:rPr>
          <w:rFonts w:ascii="Arial" w:eastAsia="Arial" w:hAnsi="Arial" w:cs="Arial"/>
          <w:i/>
          <w:sz w:val="22"/>
        </w:rPr>
      </w:pPr>
    </w:p>
    <w:p w:rsidR="00DC59AF" w:rsidRDefault="00A469BC">
      <w:pPr>
        <w:ind w:left="720"/>
        <w:rPr>
          <w:rFonts w:ascii="Arial" w:eastAsia="Arial" w:hAnsi="Arial" w:cs="Arial"/>
          <w:i/>
          <w:sz w:val="22"/>
        </w:rPr>
      </w:pPr>
      <w:r>
        <w:rPr>
          <w:rFonts w:ascii="Arial" w:eastAsia="Arial" w:hAnsi="Arial" w:cs="Arial"/>
          <w:i/>
          <w:sz w:val="22"/>
        </w:rPr>
        <w:t xml:space="preserve">New housing might be permitted in order to address </w:t>
      </w:r>
      <w:r>
        <w:rPr>
          <w:rFonts w:ascii="Arial" w:eastAsia="Arial" w:hAnsi="Arial" w:cs="Arial"/>
          <w:i/>
          <w:sz w:val="22"/>
          <w:u w:val="single"/>
        </w:rPr>
        <w:t>local needs but only in exceptional circumstances</w:t>
      </w:r>
      <w:r>
        <w:rPr>
          <w:rFonts w:ascii="Arial" w:eastAsia="Arial" w:hAnsi="Arial" w:cs="Arial"/>
          <w:i/>
          <w:sz w:val="22"/>
        </w:rPr>
        <w:t xml:space="preserve"> w</w:t>
      </w:r>
      <w:r>
        <w:rPr>
          <w:rFonts w:ascii="Arial" w:eastAsia="Arial" w:hAnsi="Arial" w:cs="Arial"/>
          <w:i/>
          <w:sz w:val="22"/>
        </w:rPr>
        <w:t>here there is demonstrated community support e.g. through a community plan. Such circumstances might be:</w:t>
      </w:r>
    </w:p>
    <w:p w:rsidR="00DC59AF" w:rsidRDefault="00A469BC">
      <w:pPr>
        <w:ind w:left="720"/>
        <w:rPr>
          <w:rFonts w:ascii="Arial" w:eastAsia="Arial" w:hAnsi="Arial" w:cs="Arial"/>
          <w:i/>
          <w:sz w:val="22"/>
        </w:rPr>
      </w:pPr>
      <w:r>
        <w:rPr>
          <w:rFonts w:ascii="Arial" w:eastAsia="Arial" w:hAnsi="Arial" w:cs="Arial"/>
          <w:i/>
          <w:sz w:val="22"/>
        </w:rPr>
        <w:t xml:space="preserve">ii.) </w:t>
      </w:r>
      <w:proofErr w:type="gramStart"/>
      <w:r>
        <w:rPr>
          <w:rFonts w:ascii="Arial" w:eastAsia="Arial" w:hAnsi="Arial" w:cs="Arial"/>
          <w:i/>
          <w:sz w:val="22"/>
        </w:rPr>
        <w:t>in</w:t>
      </w:r>
      <w:proofErr w:type="gramEnd"/>
      <w:r>
        <w:rPr>
          <w:rFonts w:ascii="Arial" w:eastAsia="Arial" w:hAnsi="Arial" w:cs="Arial"/>
          <w:i/>
          <w:sz w:val="22"/>
        </w:rPr>
        <w:t xml:space="preserve"> the form of the infilling of a plot within the physical core of the settlement by one or two dwellings for </w:t>
      </w:r>
      <w:r>
        <w:rPr>
          <w:rFonts w:ascii="Arial" w:eastAsia="Arial" w:hAnsi="Arial" w:cs="Arial"/>
          <w:i/>
          <w:sz w:val="22"/>
          <w:u w:val="single"/>
        </w:rPr>
        <w:t>affordable housing</w:t>
      </w:r>
      <w:r>
        <w:rPr>
          <w:rFonts w:ascii="Arial" w:eastAsia="Arial" w:hAnsi="Arial" w:cs="Arial"/>
          <w:i/>
          <w:sz w:val="22"/>
        </w:rPr>
        <w:t>. The cumulative impact on the character of the settlement through the development of a number of sites over time will be taken into account.</w:t>
      </w:r>
    </w:p>
    <w:p w:rsidR="00DC59AF" w:rsidRDefault="00DC59AF">
      <w:pPr>
        <w:rPr>
          <w:rFonts w:ascii="Arial" w:eastAsia="Arial" w:hAnsi="Arial" w:cs="Arial"/>
          <w:i/>
          <w:sz w:val="22"/>
        </w:rPr>
      </w:pPr>
    </w:p>
    <w:p w:rsidR="00DC59AF" w:rsidRDefault="00A469BC">
      <w:pPr>
        <w:rPr>
          <w:rFonts w:ascii="Arial" w:eastAsia="Arial" w:hAnsi="Arial" w:cs="Arial"/>
          <w:sz w:val="22"/>
        </w:rPr>
      </w:pPr>
      <w:r>
        <w:rPr>
          <w:rFonts w:ascii="Arial" w:eastAsia="Arial" w:hAnsi="Arial" w:cs="Arial"/>
          <w:sz w:val="22"/>
        </w:rPr>
        <w:t>v. There is an outstanding Planning approval reference DC/14/1818/</w:t>
      </w:r>
      <w:proofErr w:type="gramStart"/>
      <w:r>
        <w:rPr>
          <w:rFonts w:ascii="Arial" w:eastAsia="Arial" w:hAnsi="Arial" w:cs="Arial"/>
          <w:sz w:val="22"/>
        </w:rPr>
        <w:t>FUL  for</w:t>
      </w:r>
      <w:proofErr w:type="gramEnd"/>
      <w:r>
        <w:rPr>
          <w:rFonts w:ascii="Arial" w:eastAsia="Arial" w:hAnsi="Arial" w:cs="Arial"/>
          <w:sz w:val="22"/>
        </w:rPr>
        <w:t xml:space="preserve"> Tower Bungalow granted in 2014, in pla</w:t>
      </w:r>
      <w:r>
        <w:rPr>
          <w:rFonts w:ascii="Arial" w:eastAsia="Arial" w:hAnsi="Arial" w:cs="Arial"/>
          <w:sz w:val="22"/>
        </w:rPr>
        <w:t>ce which has not been carried out, this application has been legally and formally approved by SCDC.</w:t>
      </w:r>
    </w:p>
    <w:p w:rsidR="00DC59AF" w:rsidRDefault="00A469BC">
      <w:pPr>
        <w:rPr>
          <w:rFonts w:ascii="Arial" w:eastAsia="Arial" w:hAnsi="Arial" w:cs="Arial"/>
          <w:sz w:val="22"/>
        </w:rPr>
      </w:pPr>
      <w:r>
        <w:rPr>
          <w:rFonts w:ascii="Arial" w:eastAsia="Arial" w:hAnsi="Arial" w:cs="Arial"/>
          <w:sz w:val="22"/>
        </w:rPr>
        <w:t>Councillors are unable to recommend approval of this application because the footprint of the outstanding approval, if developed, will form part of the area</w:t>
      </w:r>
      <w:r>
        <w:rPr>
          <w:rFonts w:ascii="Arial" w:eastAsia="Arial" w:hAnsi="Arial" w:cs="Arial"/>
          <w:sz w:val="22"/>
        </w:rPr>
        <w:t xml:space="preserve"> of land covered by the proposed new dwelling.</w:t>
      </w:r>
    </w:p>
    <w:p w:rsidR="00DC59AF" w:rsidRDefault="00DC59AF">
      <w:pPr>
        <w:rPr>
          <w:rFonts w:ascii="Arial" w:eastAsia="Arial" w:hAnsi="Arial" w:cs="Arial"/>
          <w:sz w:val="22"/>
        </w:rPr>
      </w:pPr>
    </w:p>
    <w:p w:rsidR="00DC59AF" w:rsidRDefault="00A469BC">
      <w:pPr>
        <w:suppressAutoHyphens/>
        <w:ind w:right="-784"/>
        <w:rPr>
          <w:rFonts w:ascii="Arial" w:eastAsia="Arial" w:hAnsi="Arial" w:cs="Arial"/>
          <w:b/>
          <w:color w:val="0000FF"/>
          <w:sz w:val="20"/>
        </w:rPr>
      </w:pPr>
      <w:r>
        <w:rPr>
          <w:rFonts w:ascii="Arial" w:eastAsia="Arial" w:hAnsi="Arial" w:cs="Arial"/>
          <w:sz w:val="22"/>
        </w:rPr>
        <w:t>vi. There are no details or information submitted on how and where the water from the foul treatment plant and surface water from the site will be disposed of.</w:t>
      </w:r>
    </w:p>
    <w:p w:rsidR="00DC59AF" w:rsidRDefault="00DC59AF">
      <w:pPr>
        <w:suppressAutoHyphens/>
        <w:ind w:left="720" w:right="-784" w:hanging="720"/>
        <w:rPr>
          <w:rFonts w:ascii="Arial" w:eastAsia="Arial" w:hAnsi="Arial" w:cs="Arial"/>
          <w:color w:val="00000A"/>
          <w:sz w:val="28"/>
        </w:rPr>
      </w:pPr>
    </w:p>
    <w:p w:rsidR="00DC59AF" w:rsidRDefault="00A469BC">
      <w:pPr>
        <w:suppressAutoHyphens/>
        <w:ind w:left="720" w:right="-784" w:hanging="720"/>
        <w:rPr>
          <w:rFonts w:ascii="Arial" w:eastAsia="Arial" w:hAnsi="Arial" w:cs="Arial"/>
          <w:color w:val="00000A"/>
          <w:sz w:val="28"/>
        </w:rPr>
      </w:pPr>
      <w:r>
        <w:rPr>
          <w:rFonts w:ascii="Arial" w:eastAsia="Arial" w:hAnsi="Arial" w:cs="Arial"/>
          <w:color w:val="00000A"/>
          <w:sz w:val="22"/>
        </w:rPr>
        <w:t>5.</w:t>
      </w:r>
      <w:r>
        <w:rPr>
          <w:rFonts w:ascii="Arial" w:eastAsia="Arial" w:hAnsi="Arial" w:cs="Arial"/>
          <w:color w:val="00000A"/>
          <w:sz w:val="22"/>
        </w:rPr>
        <w:tab/>
        <w:t>ADDITIONAL COMMUNICATIONS:  To note that 2 c</w:t>
      </w:r>
      <w:r>
        <w:rPr>
          <w:rFonts w:ascii="Arial" w:eastAsia="Arial" w:hAnsi="Arial" w:cs="Arial"/>
          <w:color w:val="00000A"/>
          <w:sz w:val="22"/>
        </w:rPr>
        <w:t>opies of "Site allocations and Area Specific Policies, January 2017" (Suffolk Coastal District Local Plan) have been received and distributed to the Chair and Vice Chair.</w:t>
      </w:r>
    </w:p>
    <w:p w:rsidR="00DC59AF" w:rsidRDefault="00DC59AF">
      <w:pPr>
        <w:suppressAutoHyphens/>
        <w:ind w:left="720" w:right="-784" w:hanging="720"/>
        <w:rPr>
          <w:rFonts w:ascii="Arial" w:eastAsia="Arial" w:hAnsi="Arial" w:cs="Arial"/>
          <w:color w:val="00000A"/>
          <w:sz w:val="28"/>
        </w:rPr>
      </w:pPr>
    </w:p>
    <w:p w:rsidR="00DC59AF" w:rsidRDefault="00DC59AF">
      <w:pPr>
        <w:suppressAutoHyphens/>
        <w:ind w:left="720" w:right="-784" w:hanging="720"/>
        <w:rPr>
          <w:rFonts w:ascii="Arial" w:eastAsia="Arial" w:hAnsi="Arial" w:cs="Arial"/>
          <w:color w:val="00000A"/>
          <w:sz w:val="28"/>
        </w:rPr>
      </w:pPr>
    </w:p>
    <w:p w:rsidR="00DC59AF" w:rsidRDefault="00DC59AF">
      <w:pPr>
        <w:spacing w:after="200" w:line="276" w:lineRule="auto"/>
        <w:rPr>
          <w:rFonts w:ascii="Arial" w:eastAsia="Arial" w:hAnsi="Arial" w:cs="Arial"/>
          <w:color w:val="00000A"/>
          <w:sz w:val="28"/>
        </w:rPr>
      </w:pPr>
    </w:p>
    <w:p w:rsidR="00DC59AF" w:rsidRDefault="00A469BC">
      <w:pPr>
        <w:spacing w:after="200" w:line="276" w:lineRule="auto"/>
        <w:rPr>
          <w:rFonts w:ascii="Calibri" w:eastAsia="Calibri" w:hAnsi="Calibri" w:cs="Calibri"/>
          <w:sz w:val="22"/>
        </w:rPr>
      </w:pPr>
      <w:r>
        <w:rPr>
          <w:rFonts w:ascii="Arial" w:eastAsia="Arial" w:hAnsi="Arial" w:cs="Arial"/>
          <w:color w:val="00000A"/>
          <w:sz w:val="28"/>
        </w:rPr>
        <w:t xml:space="preserve">SIGNED </w:t>
      </w:r>
      <w:r>
        <w:rPr>
          <w:rFonts w:ascii="Arial" w:eastAsia="Arial" w:hAnsi="Arial" w:cs="Arial"/>
          <w:color w:val="00000A"/>
          <w:sz w:val="28"/>
        </w:rPr>
        <w:tab/>
      </w:r>
      <w:r>
        <w:rPr>
          <w:rFonts w:ascii="Balthazar" w:eastAsia="Balthazar" w:hAnsi="Balthazar" w:cs="Balthazar"/>
          <w:color w:val="00000A"/>
          <w:sz w:val="36"/>
        </w:rPr>
        <w:t xml:space="preserve">R. </w:t>
      </w:r>
      <w:proofErr w:type="spellStart"/>
      <w:r>
        <w:rPr>
          <w:rFonts w:ascii="Balthazar" w:eastAsia="Balthazar" w:hAnsi="Balthazar" w:cs="Balthazar"/>
          <w:color w:val="00000A"/>
          <w:sz w:val="36"/>
        </w:rPr>
        <w:t>Wardley</w:t>
      </w:r>
      <w:proofErr w:type="spellEnd"/>
      <w:r>
        <w:rPr>
          <w:rFonts w:ascii="Arial" w:eastAsia="Arial" w:hAnsi="Arial" w:cs="Arial"/>
          <w:color w:val="00000A"/>
          <w:sz w:val="28"/>
        </w:rPr>
        <w:tab/>
      </w:r>
      <w:r>
        <w:rPr>
          <w:rFonts w:ascii="Arial" w:eastAsia="Arial" w:hAnsi="Arial" w:cs="Arial"/>
          <w:color w:val="00000A"/>
          <w:sz w:val="28"/>
        </w:rPr>
        <w:tab/>
      </w:r>
      <w:r>
        <w:rPr>
          <w:rFonts w:ascii="Arial" w:eastAsia="Arial" w:hAnsi="Arial" w:cs="Arial"/>
          <w:color w:val="00000A"/>
          <w:sz w:val="28"/>
        </w:rPr>
        <w:tab/>
      </w:r>
      <w:r>
        <w:rPr>
          <w:rFonts w:ascii="Arial" w:eastAsia="Arial" w:hAnsi="Arial" w:cs="Arial"/>
          <w:color w:val="00000A"/>
          <w:sz w:val="28"/>
        </w:rPr>
        <w:tab/>
        <w:t xml:space="preserve"> DATE 25/04/2017</w:t>
      </w:r>
    </w:p>
    <w:p w:rsidR="00DC59AF" w:rsidRDefault="00DC59AF">
      <w:pPr>
        <w:spacing w:after="200" w:line="276" w:lineRule="auto"/>
        <w:rPr>
          <w:rFonts w:ascii="Calibri" w:eastAsia="Calibri" w:hAnsi="Calibri" w:cs="Calibri"/>
          <w:sz w:val="22"/>
        </w:rPr>
      </w:pPr>
    </w:p>
    <w:sectPr w:rsidR="00DC59A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iberatio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Liberation Serif">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Balthazar">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AF"/>
    <w:rsid w:val="00A469BC"/>
    <w:rsid w:val="00DC59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oleObject" Target="embeddings/oleObject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4553</Characters>
  <Application>Microsoft Macintosh Word</Application>
  <DocSecurity>0</DocSecurity>
  <Lines>37</Lines>
  <Paragraphs>10</Paragraphs>
  <ScaleCrop>false</ScaleCrop>
  <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Shirley Cunningham</cp:lastModifiedBy>
  <cp:revision>2</cp:revision>
  <dcterms:created xsi:type="dcterms:W3CDTF">2017-04-26T15:55:00Z</dcterms:created>
  <dcterms:modified xsi:type="dcterms:W3CDTF">2017-04-26T15:55:00Z</dcterms:modified>
</cp:coreProperties>
</file>